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40" w:type="dxa"/>
        <w:jc w:val="center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62"/>
        <w:gridCol w:w="1559"/>
        <w:gridCol w:w="401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62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31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Министерство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3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промышленности и торговли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2610" cy="732434"/>
                      <wp:effectExtent l="0" t="0" r="0" b="0"/>
                      <wp:docPr id="1" name="_x0000_i103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2610" cy="732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0.05pt;height:57.67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9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31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 Элькунысь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31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промышленностья но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pStyle w:val="103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  <w:t xml:space="preserve">вузкаронъя министерство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1031"/>
        <w:ind w:right="-57"/>
        <w:jc w:val="center"/>
        <w:spacing w:before="120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Красная, 144, Ижевск, 426008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31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Тел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.: (3412)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222-688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e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mail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: </w:t>
      </w:r>
      <w:r>
        <w:rPr>
          <w:rFonts w:ascii="PT Astra Serif" w:hAnsi="PT Astra Serif" w:eastAsia="PT Astra Serif" w:cs="PT Astra Serif"/>
          <w:color w:val="000000"/>
          <w:lang w:val="en-US"/>
        </w:rPr>
        <w:t xml:space="preserve">mail@mpt.udmr.ru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lang w:val="en-US"/>
        </w:rPr>
        <w:t xml:space="preserve">http://www.mintorg.udmurt.ru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31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ОКПО 29993625 О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Г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РН 1151831000463 ИНН/КПП 1841048002/184101001</w:t>
      </w:r>
      <w:r>
        <w:rPr>
          <w:rFonts w:ascii="PT Astra Serif" w:hAnsi="PT Astra Serif" w:cs="PT Astra Serif"/>
          <w:sz w:val="18"/>
          <w:szCs w:val="18"/>
        </w:rPr>
      </w:r>
      <w:r>
        <w:rPr>
          <w:rFonts w:ascii="PT Astra Serif" w:hAnsi="PT Astra Serif" w:cs="PT Astra Serif"/>
          <w:sz w:val="18"/>
          <w:szCs w:val="18"/>
        </w:rPr>
      </w:r>
    </w:p>
    <w:p>
      <w:pPr>
        <w:pStyle w:val="1031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65405</wp:posOffset>
                </wp:positionV>
                <wp:extent cx="6821805" cy="0"/>
                <wp:effectExtent l="0" t="0" r="0" b="0"/>
                <wp:wrapNone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82180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20.0pt,5.1pt" to="517.2pt,5.1pt" filled="f" strokecolor="#000000" strokeweight="0.99pt"/>
            </w:pict>
          </mc:Fallback>
        </mc:AlternateConten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031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ПРЕСС – РЕЛИЗ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082"/>
        <w:jc w:val="center"/>
        <w:spacing w:before="0" w:beforeAutospacing="0" w:after="0" w:afterAutospacing="0"/>
        <w:shd w:val="clear" w:color="auto" w:fill="ffffff"/>
        <w:rPr>
          <w:rStyle w:val="1083"/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тоги 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работы п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ромышленных предприятий Удмуртии</w:t>
      </w:r>
      <w:r>
        <w:rPr>
          <w:rStyle w:val="1083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Style w:val="1083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082"/>
        <w:jc w:val="center"/>
        <w:spacing w:before="0" w:beforeAutospacing="0" w:after="0" w:afterAutospacing="0"/>
        <w:shd w:val="clear" w:color="auto" w:fill="ffffff"/>
        <w:rPr>
          <w:rStyle w:val="1083"/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за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 январь-май 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20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2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5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 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год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а</w:t>
      </w:r>
      <w:r>
        <w:rPr>
          <w:rStyle w:val="1083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Style w:val="1083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082"/>
        <w:jc w:val="center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031"/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истерством промышленности и торговли Удмуртской Республики подведены итоги работы промышленных предприятий Удмуртской Республики 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январь-май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31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 данным Удмуртстата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январь-май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года предприятиями респуб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лики отгружено товаров (работ, услуг) собственного производства на сумму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546,9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млрд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рублей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темп роста к аналогичному периоду прошлого года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110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итогам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января-мая 2025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индекс промышленно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производства (далее – 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в целом по промышленности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оставил 109,6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%, что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8,3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п.п. выше ИПП Российск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ой Федерацией (101,3 %)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Удмуртия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нимает 2 место в ПФО и вх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одит в ТОП-10 в Российской Федерации по ИПП.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31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Предприятиями отрасли «обрабатывающих производств» отгружено продукции на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363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млрд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руб.,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темп роста к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логичному периоду прошлого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 129,9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индексу промышленного производства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Удмуртия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занимает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1-е место по отрасли «обрабатывающих производств» среди регионов ПФО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122,7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 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входит в ТОП-3 в Российской Федерации.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ИПП выше общероссийского на 18,5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п.п.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(РФ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104,2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Доля отрасли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обрабатывающие производства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в общем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объеме пр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оизводства состав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ила 66,4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31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ысокий индекс производства при росте объемов отгруженных товаров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демонстрируют следующие отрасли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</w:p>
    <w:p>
      <w:pPr>
        <w:pStyle w:val="874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автотранспортных средств, прицепов и полуприцепов – в 3,8 раз;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74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готовых металлических издели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й – 129,1%;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74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компьютеров, электронных и оптических изделий – 183%;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74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прочих транспортных средств и оборудования – 152,8%;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874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изделий из кожи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 - 107,5%;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74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прочей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  <w:t xml:space="preserve">неметаллической минеральной продукции - 105,3%;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p>
      <w:pPr>
        <w:ind w:left="0" w:firstLine="0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yellow"/>
        </w:rPr>
      </w:r>
    </w:p>
    <w:p>
      <w:pPr>
        <w:pStyle w:val="1031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Основными предприятиями оказывающие значительное влияние на положительную динамику данных отраслей благодаря своим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высоким показателям по итогам января-мая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2025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продемонстрировали следующие предприятия: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«ИЭМЗ «Купол»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«Воткинский завод»,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«Ижевский мотозавод «Аксион-Холдинг»,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«Концерн «Калашников»,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АО «ЧМЗ»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</w:t>
        <w:br/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«СЭГЗ»,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«Ижевский механический завод»,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АО «Ижевский завод пластмасс»,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br/>
        <w:t xml:space="preserve">АО «Глазовский завод «Металлист»,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ОАО «НИТИ «Прогресс»,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br/>
        <w:t xml:space="preserve">ООО «Машиностроительный комплекс ЧМЗ»,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ООО «Орион»,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«Новый дом»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«Завод железобетонных издели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й»,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«136 ЦБПР»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ыча полезных ископаемых в общем объеме производства составила 27,7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 отгруженных товаров отрасли составил 151,9 млрд. рублей, темп рост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 к соответствующему периоду 2024 года – 79,9 %.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 промышленного производства (ИПП)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по добыче полезных ископаемых в Удмуртской Республике составил 94,5 %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color w:val="000000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«Зеленый свет – мирным беспилотникам»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Удмуртия вошла в ТОП-20 регионов России по развитию беспилотных технологий!</w:t>
        <w:br/>
      </w:r>
      <w:r>
        <w:rPr>
          <w:rFonts w:ascii="PT Astra Serif" w:hAnsi="PT Astra Serif" w:eastAsia="PT Astra Serif" w:cs="PT Astra 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0500" cy="19050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775929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90499" cy="190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На ПМЭФ-2025 Минпромторг России представил первый рейтинг «дронификации» регионов — Удмуртская Республика показала отличные результаты и вошла в топ-20 регионов! 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В расчет пилотного рейтинга вошли 47 регионов России из восьми федеральных округов. В следую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щем году участие станет обязательным для всех субъектов.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Удмуртия — в числе лидеров! Это подтверждает, что регион акт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ивно развивает инновационные технологии, создает условия для внедрения беспилотных систем и готов к цифровому будущему.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На сегодняшний день в регионе ведется работа над созданием научно-производственного центра БАС.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Ф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  <w:t xml:space="preserve">едеральный проект «Развитие промышленной робототехники и автоматизации производства»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Компания «Новый дом» стала участником федерального проекта «Развитие промышленной робототехники и автоматизации производства», который является частью нового национального проекта «Средства производства и автоматизации».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Предприятие пройдет оценку Федер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ального Центра Компетенций и получит рекомендации по роботизации производства.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Весь процесс анализа, расчета экономической эффективности и получения рекомендаций займет 2 месяца.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Компания «Новый дом» в 2019 году стала одним из первых участников национального проекта «Производительность труда». И этот опыт оказался весьма удачным.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Стать участником федерального проекта «Развитие промышленной робототехники и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автоматизации производства» может любое предприятие, подходящее под критерии отбора: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а) предприятия обрабатывающей промышленности;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б) вид основной или дополнительной деятельности в соответствии с кодами раздела с 10 по 33 ОКВЭД 2, включающими все классы, п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одклассы, группы, подгруппы и виды.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Подробно ознакомиться с процессом и подать заявку на участие можно по </w:t>
      </w:r>
      <w:hyperlink r:id="rId13" w:tooltip="https://производительность.рф/national-project/robotization/" w:history="1">
        <w:r>
          <w:rPr>
            <w:rStyle w:val="1050"/>
            <w:rFonts w:ascii="PT Astra Serif" w:hAnsi="PT Astra Serif" w:eastAsia="PT Astra Serif" w:cs="PT Astra Serif"/>
            <w:color w:val="000000"/>
            <w:sz w:val="28"/>
            <w:szCs w:val="28"/>
            <w:highlight w:val="white"/>
            <w:u w:val="none"/>
          </w:rPr>
          <w:t xml:space="preserve">ссылке</w:t>
        </w:r>
      </w:hyperlink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«Сотрудничество с ЛНР»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Удмуртия развивает сотрудничество с Лутугинским районом Луганской Народной Республики в сфере промышленности.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Удмуртия сотрудничает с Лутугинским районом ЛНР с 2023 года. Одним из направлений шефства над муниципалитетом является налаживание с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отрудничества между предприятиями Удмуртской Республики и Лутугинского района.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Сейчас составляется перечень промышленных предприятий, заинтересованных в кооперации с предприятиями Удмуртии. В планах также создание межрегионального промышленного кластера.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Отмечу, что развитие взаимодействия между регионами способствует росту деловой активности, созданию новых кооперационных цепочек, активизации интеграции в экономическое пространство страны. Что касается кооперации между промышленными предприятиями, в пе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рспективе это приведет к повышению возможностей для наращивания производственных мощностей, разработки и выпуска новой продукции.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  <w:t xml:space="preserve">Иннопром-2025: Вдохновение, инновации и новые перспективы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»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br/>
        <w:t xml:space="preserve">Иннопром-2025 – это настоящий взрыв вдохновения и море эмоций! </w:t>
        <w:br/>
      </w:r>
      <w:r>
        <w:rPr>
          <w:rFonts w:ascii="PT Astra Serif" w:hAnsi="PT Astra Serif" w:eastAsia="PT Astra Serif" w:cs="PT Astra 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0500" cy="19050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47271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90499" cy="190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Встреча с представителями АО Группа Синара. 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Компания представила новейшие разработки в сфере городского электротранспорта и повышения качества обслуживания пассажиров. Ряд инновационных решений может быть применим в Удмуртии.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Деловой форум «Промышленный диалог: Россия - Саудовская Аравия». Тема: Стратегическое партнерство между странами и новые возможности сотрудничества. Вывод для предприятий Удмуртии: партнерство с компаниями Саудовской Аравии – это не только смещение глобаль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ных экономических векторов, но и доступ к серьезным инвестиционным ресурсам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0500" cy="19050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877528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90499" cy="190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Совещании министров промышленности государств-членов ШОС. Главное: в ближайшие 6 лет Россия планирует выделить около $1,7 млрд на роботизацию, сообщил глава Минпромторга РФ Антон Алиханов.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К 2030 году планируется обеспечить плотность роботизации в количест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ве 145 единиц на 10 тыс. человек, а для промышленных предприятий с госучастием — до 230 роботов на 10 тыс. сотрудников.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0500" cy="190500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407801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90499" cy="190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Коллегия Минпромторга России, посвященная итогам реализации промышленной политики за 2024 год. По словам Антона Алиханова, прошлый год стал отправным для масштабного наращивания производства комплектующих и выстраивания отечественных кооперационных цепочек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В 2025 году российская промышленность функционирует в рамках комплексной системы стратегического планирования, основополагающим элементом которого являются национальные проекты по обеспечению технологического лидерства. Во впечатляющих результатах россий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ской промышленности безусловно важную роль сыграли достижения предприятий Удмуртии. Республика занимает второе место по объему промышленного производства в стране. Держим планку и не снижаем темпов.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П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ремия «Молодой промышленник года». В ТОП-200 молодых промышленников попал представитель Удмуртии - директор по развитию </w:t>
        <w:br/>
        <w:t xml:space="preserve">ООО «Криотехника» Ринат Ризванов.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На стратегической сессии «Технологическое лидерство: индустриальный прорыв» подчеркивали: инновации — это не про будущее, это про сегодня. Председатель правительства России Михаил Мишустин отметил, что экономика страны должна стать более технологичной. И э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то возможно — если мы будем работать вместе.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Удмуртия на Иннопроме — с полной гаммой решений!</w:t>
        <w:br/>
        <w:t xml:space="preserve">На стенде республики представили свои разработки такие компании, как «Арма», «Улановъ-Техно», «Гидросистемы», «Норт» и «Гермес». Их экспозиция вызвала живой ин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терес у участников — это доказательство того, что регион готов к новым высотам!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  <w:t xml:space="preserve">Одна втулка за 5 секунд: автоматизированную линию производства ввели в эксплуатацию на Чепецком механическом заводе (входит в ТВЭЛ)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Какую продукцию здесь выпускают?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Заготовки под ячейки дистанционирующих решеток ТВС для реакторов ВВЭР-1000, ВВЭР-1200 и ВВ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ЭР-440. На линии можно производить 40 типоразмеров втулок из сплава циркония Э110. Оборудование разработал ЧМЗ вместе с отечественным производителем.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«Производство циркониевых комплектующих для топлива АЭС сегодня полностью сконцентрировано на площадке завода. Растущие потребности атомной отрасли в компонентах из циркония закономерно ориентируют нас наращивать долю автоматизации процессов, увеличивая ко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личественные, скоростные и качественные показатели нашей работы»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 - прокоментировал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Сергей Чинейкин, гендиректор ЧМЗ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Какие операции выполняют?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Измерение и взвешивание трубы, нарезка втулок, формирование геометрии торца и сортировка изделий. Всем управляет один оператор. Раньше операции выполняли вручную на разных участках при помощи 20 сотрудников и шести станочных едини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ц. Благодаря линии в два раза увеличили скорость производства.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Как выглядит оборудование?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Оно оснащено лазерными и оптическими 2D-микрометрами, манипуляторами. Позволяет в автоматическом режиме сортировать и проверять качество изделий на каждом этапе.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</w:p>
    <w:p>
      <w:pPr>
        <w:ind w:left="0" w:right="0" w:firstLine="567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  <w:t xml:space="preserve">Государственная премия Удмуртской Республики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С 15 июля по 1 сентября 2025 года стартует прием документов на соискание Государственной премии Удмуртской Республики в области в области науки, технологий и производства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Кому подходит участие? 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- Исследователям и научным коллективам, создавшим значимые разработки;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- Инженерам и экспертам, внедрявшим инновационные технологии;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- Производственным предприятиям, поднявшим экономику региона на новый уровень.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Условия участия: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☑️Результаты работ реализованы на практике не менее чем за год до истечения срока приемов работ;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☑️Коллектив, представленный на соискание премии, не должен превышать 5 человек.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Денежное вознаграждение за присуждение Государственной премии составляет 100 000 рублей и делится поровну между всеми членами коллектива.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➡️С пакетом документов, необходимых для участия, и с регламентом проведения Государственной премии Удмуртской Республики можно ознакомиться </w:t>
      </w:r>
      <w:hyperlink r:id="rId14" w:tooltip="http://minpromtorg.udmurt.ru/news/1352" w:history="1">
        <w:r>
          <w:rPr>
            <w:rStyle w:val="1050"/>
            <w:rFonts w:ascii="PT Astra Serif" w:hAnsi="PT Astra Serif" w:eastAsia="PT Astra Serif" w:cs="PT Astra Serif"/>
            <w:color w:val="0056b3"/>
            <w:sz w:val="28"/>
            <w:szCs w:val="28"/>
            <w:highlight w:val="white"/>
            <w:u w:val="single"/>
          </w:rPr>
          <w:t xml:space="preserve">здесь</w:t>
        </w:r>
      </w:hyperlink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Работы принимаются Администрацией Главы и Правительства Удмуртской Республики до 1 сентября 2025 года по адресу: г. Ижевск, ул. Пушкинская, д. 214, каб. 318, тел. 497-089.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Госпремия — это признание достижений, мощный стимул для развития отраслей и возможность привлечь дополнительные ресурсы для новых проектов. Не пропустите возможность заявить о своих достижениях!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  <w:t xml:space="preserve">«Лучший промышленный дизайн России»!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Минпромторг РФ объявляет о проведении ежегодной премии в области промышленного дизайна — «Лучший промышленный дизайн России»!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Цель премии — развивать креативную индустрию в стране и поддерживать творческие достижения, способствуя росту отечественного про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мышленного дизайна.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Подача заявок на участие в номинациях «Дизайн-продукт», «Дизайн-прототип» и «Народный выбор» осуществляется до 20 августа 2025 года на </w:t>
      </w:r>
      <w:hyperlink r:id="rId15" w:tooltip="https://design-prom.ru/" w:history="1">
        <w:r>
          <w:rPr>
            <w:rStyle w:val="1050"/>
            <w:rFonts w:ascii="PT Astra Serif" w:hAnsi="PT Astra Serif" w:eastAsia="PT Astra Serif" w:cs="PT Astra Serif"/>
            <w:color w:val="000000"/>
            <w:sz w:val="28"/>
            <w:szCs w:val="28"/>
            <w:highlight w:val="white"/>
            <w:u w:val="none"/>
          </w:rPr>
          <w:t xml:space="preserve">сайте премии</w:t>
        </w:r>
      </w:hyperlink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ценка конкурсных работ будет проводиться по критериям:</w:t>
        <w:br/>
        <w:t xml:space="preserve">- Технологическая новизна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- Экономический эффект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- Межотраслевое значение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br/>
        <w:t xml:space="preserve">- Эргономичность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- Художественная значимость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- Ориентация на глобальный рынок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Алкогольный рынок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С 7 июня 2025 года вступил в силу закон, ужесточающий ответственность за продажу безалкогольных тонизи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рующих напитков несовершеннолетним. Изменения вносятся в Кодекс об административных правонарушениях.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Согласно документу за реализацию безалкогольных тони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зирующих напитков детям предусмотрены штрафы: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- для физических лиц от 30 000 до 50 000 рублей;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- для должностных лиц от 100 000 до 200 000 рублей;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- для юридических лиц от 300 000 до 500 000 рублей.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ндивидуальным предпринимателям и организациям, необходимо соблюдать действующее законодательства в области продажи безалкогольных тонизирующих напитков (в том числе энергетических).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В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  <w:t xml:space="preserve"> соответствии с Постановлением Правительства Российской Федерации от 27.05.2024 № 678 с 1 октября 2025 года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в маркировке безалкогольного пива вводится запрет на оборот немаркированной продукции, произведённой или ввезённой в Российскую Федерацию до 1 октя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бря 2024 года. При условии если её срок годности менее 365 дней. Если срок годности свыше 365 дней, то продукцию можно реализовывать до истечения сроков годности.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  <w:t xml:space="preserve">Оператор информационной системы мониторинга ООО «Оператор-ЦРПТ» напоминает об изменениях в маркировке пива и слабоалкогольных напитков.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hd w:val="clear" w:color="ffffff" w:fill="ffffff"/>
        <w:rPr>
          <w:rFonts w:ascii="PT Astra Serif" w:hAnsi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Так, с 1 сентября 2025 года все участники оборота пива и слабоалкогольных напитков должны представлять в информационну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ю систему мониторинга сведения об обороте пива и слабоалкогольных напитков в потребительской упаковке, произведенных или ввозимых (ввезенных) в Российскую Федерацию с указанной даты, включая сведения об их перемещении между собственными структурными или об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особленными подразделениями.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«Средства размещения»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С 1 сентября вступают в силу новые требования законодательства о классификации средств размещения.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Согласно статье 5.1 Федерального закона от 24.11.1996 № 132-ФЗ «Об основах туристской деятельности в Российской Федерации», запрещается предоставление услуг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средствами размещения, сведения о которых не включены в реестр классифицированных объектов. Также запрещено использование в рекламе и названии средств размещения типов и категорий, не соответствующих тем, что указаны в реестре.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Для включения в реестр нео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бходимо пройти самооценку до 01.09.2025. Инструкция о том, как это сделать, доступна по следующей ссылке: </w:t>
      </w:r>
      <w:hyperlink r:id="rId16" w:tooltip="https://fsa.gov.ru/about/deyatelnost/funktsii-v-sfere-turizma/" w:history="1">
        <w:r>
          <w:rPr>
            <w:rStyle w:val="1050"/>
            <w:rFonts w:ascii="PT Astra Serif" w:hAnsi="PT Astra Serif" w:eastAsia="PT Astra Serif" w:cs="PT Astra Serif"/>
            <w:color w:val="000000"/>
            <w:sz w:val="28"/>
            <w:szCs w:val="28"/>
            <w:highlight w:val="white"/>
            <w:u w:val="single"/>
          </w:rPr>
          <w:t xml:space="preserve">Инструкция по самооценке</w:t>
        </w:r>
      </w:hyperlink>
      <w:r>
        <w:rPr>
          <w:rFonts w:ascii="PT Astra Serif" w:hAnsi="PT Astra Serif" w:eastAsia="PT Astra Serif" w:cs="PT Astra Serif"/>
          <w:sz w:val="28"/>
          <w:szCs w:val="28"/>
        </w:rPr>
      </w:r>
      <w:hyperlink r:id="rId17" w:tooltip="https://fsa.gov.ru/about/deyatelnost/funktsii-v-sfere-turizma/" w:history="1">
        <w:r>
          <w:rPr>
            <w:rStyle w:val="1050"/>
            <w:rFonts w:ascii="PT Astra Serif" w:hAnsi="PT Astra Serif" w:eastAsia="PT Astra Serif" w:cs="PT Astra Serif"/>
            <w:color w:val="000000"/>
            <w:sz w:val="28"/>
            <w:szCs w:val="28"/>
            <w:highlight w:val="white"/>
            <w:u w:val="none"/>
          </w:rPr>
          <w:t xml:space="preserve">.</w:t>
        </w:r>
      </w:hyperlink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</w:p>
    <w:p>
      <w:pPr>
        <w:ind w:left="0" w:right="0" w:firstLine="567"/>
        <w:jc w:val="both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«Честный знак»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С 1 сентября вводится проверка наличия разрешительных документов и их содержания у производителей и импортеров товаров. Углубление интеграции системы «Честный знак» с реестрами Росаккредитации и Роспотребнадзора еще больше повысит прозрачность товарооборот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а.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Новвоведения на первом этапе охватывают обувь, парфюмерию, шины и воду и далее станет обязательным для всех 27 категорий товаров в системе маркировки. Если разрешительные документы не пройдут проверку, товар нельзя будет ввести в оборот.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Организациям и индивидуальным предпринимателям необходимо соблюдение правил обязательной маркировки товаров в соответствии с действующим законодательством.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yellow"/>
        </w:rPr>
      </w:r>
    </w:p>
    <w:sectPr>
      <w:footerReference w:type="even" r:id="rId9"/>
      <w:footerReference w:type="first" r:id="rId10"/>
      <w:footnotePr>
        <w:pos w:val="beneathText"/>
      </w:footnotePr>
      <w:endnotePr/>
      <w:type w:val="nextPage"/>
      <w:pgSz w:w="11905" w:h="16837" w:orient="portrait"/>
      <w:pgMar w:top="567" w:right="709" w:bottom="851" w:left="1701" w:header="425" w:footer="15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  <w:rPr>
        <w:rStyle w:val="1076"/>
      </w:rPr>
      <w:framePr w:wrap="around" w:vAnchor="text" w:hAnchor="margin" w:xAlign="right" w:y="1"/>
    </w:pPr>
    <w:r>
      <w:rPr>
        <w:rStyle w:val="1076"/>
      </w:rPr>
      <w:fldChar w:fldCharType="begin"/>
    </w:r>
    <w:r>
      <w:rPr>
        <w:rStyle w:val="1076"/>
      </w:rPr>
      <w:instrText xml:space="preserve">PAGE  </w:instrText>
    </w:r>
    <w:r>
      <w:rPr>
        <w:rStyle w:val="1076"/>
      </w:rPr>
      <w:fldChar w:fldCharType="separate"/>
    </w:r>
    <w:r>
      <w:rPr>
        <w:rStyle w:val="1076"/>
      </w:rPr>
      <w:t xml:space="preserve">5</w:t>
    </w:r>
    <w:r>
      <w:rPr>
        <w:rStyle w:val="1076"/>
      </w:rPr>
      <w:fldChar w:fldCharType="end"/>
    </w:r>
    <w:r>
      <w:rPr>
        <w:rStyle w:val="1076"/>
      </w:rPr>
    </w:r>
    <w:r>
      <w:rPr>
        <w:rStyle w:val="1076"/>
      </w:rPr>
    </w:r>
  </w:p>
  <w:p>
    <w:pPr>
      <w:pStyle w:val="1068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Ю.О. Емельянов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  <w:p>
    <w:pPr>
      <w:pStyle w:val="1031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т. (3412)-495-300, ф. 495-639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2"/>
  </w:num>
  <w:num w:numId="5">
    <w:abstractNumId w:val="4"/>
  </w:num>
  <w:num w:numId="6">
    <w:abstractNumId w:val="22"/>
  </w:num>
  <w:num w:numId="7">
    <w:abstractNumId w:val="24"/>
  </w:num>
  <w:num w:numId="8">
    <w:abstractNumId w:val="9"/>
  </w:num>
  <w:num w:numId="9">
    <w:abstractNumId w:val="29"/>
  </w:num>
  <w:num w:numId="10">
    <w:abstractNumId w:val="0"/>
  </w:num>
  <w:num w:numId="11">
    <w:abstractNumId w:val="28"/>
  </w:num>
  <w:num w:numId="12">
    <w:abstractNumId w:val="21"/>
  </w:num>
  <w:num w:numId="13">
    <w:abstractNumId w:val="19"/>
  </w:num>
  <w:num w:numId="14">
    <w:abstractNumId w:val="20"/>
  </w:num>
  <w:num w:numId="15">
    <w:abstractNumId w:val="5"/>
  </w:num>
  <w:num w:numId="16">
    <w:abstractNumId w:val="15"/>
  </w:num>
  <w:num w:numId="17">
    <w:abstractNumId w:val="3"/>
  </w:num>
  <w:num w:numId="18">
    <w:abstractNumId w:val="11"/>
  </w:num>
  <w:num w:numId="19">
    <w:abstractNumId w:val="16"/>
  </w:num>
  <w:num w:numId="20">
    <w:abstractNumId w:val="33"/>
  </w:num>
  <w:num w:numId="21">
    <w:abstractNumId w:val="25"/>
  </w:num>
  <w:num w:numId="22">
    <w:abstractNumId w:val="30"/>
  </w:num>
  <w:num w:numId="23">
    <w:abstractNumId w:val="26"/>
  </w:num>
  <w:num w:numId="24">
    <w:abstractNumId w:val="17"/>
  </w:num>
  <w:num w:numId="25">
    <w:abstractNumId w:val="32"/>
  </w:num>
  <w:num w:numId="26">
    <w:abstractNumId w:val="8"/>
  </w:num>
  <w:num w:numId="27">
    <w:abstractNumId w:val="14"/>
  </w:num>
  <w:num w:numId="28">
    <w:abstractNumId w:val="2"/>
  </w:num>
  <w:num w:numId="29">
    <w:abstractNumId w:val="7"/>
  </w:num>
  <w:num w:numId="30">
    <w:abstractNumId w:val="13"/>
  </w:num>
  <w:num w:numId="31">
    <w:abstractNumId w:val="10"/>
  </w:num>
  <w:num w:numId="32">
    <w:abstractNumId w:val="35"/>
  </w:num>
  <w:num w:numId="33">
    <w:abstractNumId w:val="6"/>
  </w:num>
  <w:num w:numId="34">
    <w:abstractNumId w:val="23"/>
  </w:num>
  <w:num w:numId="35">
    <w:abstractNumId w:val="34"/>
  </w:num>
  <w:num w:numId="36">
    <w:abstractNumId w:val="27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56">
    <w:name w:val="Heading 1"/>
    <w:basedOn w:val="1031"/>
    <w:next w:val="1031"/>
    <w:link w:val="8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57">
    <w:name w:val="Heading 1 Char"/>
    <w:link w:val="856"/>
    <w:uiPriority w:val="9"/>
    <w:rPr>
      <w:rFonts w:ascii="Arial" w:hAnsi="Arial" w:eastAsia="Arial" w:cs="Arial"/>
      <w:sz w:val="40"/>
      <w:szCs w:val="40"/>
    </w:rPr>
  </w:style>
  <w:style w:type="paragraph" w:styleId="858">
    <w:name w:val="Heading 2"/>
    <w:basedOn w:val="1031"/>
    <w:next w:val="1031"/>
    <w:link w:val="8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59">
    <w:name w:val="Heading 2 Char"/>
    <w:link w:val="858"/>
    <w:uiPriority w:val="9"/>
    <w:rPr>
      <w:rFonts w:ascii="Arial" w:hAnsi="Arial" w:eastAsia="Arial" w:cs="Arial"/>
      <w:sz w:val="34"/>
    </w:rPr>
  </w:style>
  <w:style w:type="paragraph" w:styleId="860">
    <w:name w:val="Heading 3"/>
    <w:basedOn w:val="1031"/>
    <w:next w:val="1031"/>
    <w:link w:val="8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61">
    <w:name w:val="Heading 3 Char"/>
    <w:link w:val="860"/>
    <w:uiPriority w:val="9"/>
    <w:rPr>
      <w:rFonts w:ascii="Arial" w:hAnsi="Arial" w:eastAsia="Arial" w:cs="Arial"/>
      <w:sz w:val="30"/>
      <w:szCs w:val="30"/>
    </w:rPr>
  </w:style>
  <w:style w:type="paragraph" w:styleId="862">
    <w:name w:val="Heading 4"/>
    <w:basedOn w:val="1031"/>
    <w:next w:val="1031"/>
    <w:link w:val="8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63">
    <w:name w:val="Heading 4 Char"/>
    <w:link w:val="862"/>
    <w:uiPriority w:val="9"/>
    <w:rPr>
      <w:rFonts w:ascii="Arial" w:hAnsi="Arial" w:eastAsia="Arial" w:cs="Arial"/>
      <w:b/>
      <w:bCs/>
      <w:sz w:val="26"/>
      <w:szCs w:val="26"/>
    </w:rPr>
  </w:style>
  <w:style w:type="paragraph" w:styleId="864">
    <w:name w:val="Heading 5"/>
    <w:basedOn w:val="1031"/>
    <w:next w:val="1031"/>
    <w:link w:val="8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65">
    <w:name w:val="Heading 5 Char"/>
    <w:link w:val="864"/>
    <w:uiPriority w:val="9"/>
    <w:rPr>
      <w:rFonts w:ascii="Arial" w:hAnsi="Arial" w:eastAsia="Arial" w:cs="Arial"/>
      <w:b/>
      <w:bCs/>
      <w:sz w:val="24"/>
      <w:szCs w:val="24"/>
    </w:rPr>
  </w:style>
  <w:style w:type="paragraph" w:styleId="866">
    <w:name w:val="Heading 6"/>
    <w:basedOn w:val="1031"/>
    <w:next w:val="1031"/>
    <w:link w:val="8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7">
    <w:name w:val="Heading 6 Char"/>
    <w:link w:val="866"/>
    <w:uiPriority w:val="9"/>
    <w:rPr>
      <w:rFonts w:ascii="Arial" w:hAnsi="Arial" w:eastAsia="Arial" w:cs="Arial"/>
      <w:b/>
      <w:bCs/>
      <w:sz w:val="22"/>
      <w:szCs w:val="22"/>
    </w:rPr>
  </w:style>
  <w:style w:type="paragraph" w:styleId="868">
    <w:name w:val="Heading 7"/>
    <w:basedOn w:val="1031"/>
    <w:next w:val="1031"/>
    <w:link w:val="8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9">
    <w:name w:val="Heading 7 Char"/>
    <w:link w:val="8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70">
    <w:name w:val="Heading 8"/>
    <w:basedOn w:val="1031"/>
    <w:next w:val="1031"/>
    <w:link w:val="8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71">
    <w:name w:val="Heading 8 Char"/>
    <w:link w:val="870"/>
    <w:uiPriority w:val="9"/>
    <w:rPr>
      <w:rFonts w:ascii="Arial" w:hAnsi="Arial" w:eastAsia="Arial" w:cs="Arial"/>
      <w:i/>
      <w:iCs/>
      <w:sz w:val="22"/>
      <w:szCs w:val="22"/>
    </w:rPr>
  </w:style>
  <w:style w:type="paragraph" w:styleId="872">
    <w:name w:val="Heading 9"/>
    <w:basedOn w:val="1031"/>
    <w:next w:val="1031"/>
    <w:link w:val="8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3">
    <w:name w:val="Heading 9 Char"/>
    <w:link w:val="872"/>
    <w:uiPriority w:val="9"/>
    <w:rPr>
      <w:rFonts w:ascii="Arial" w:hAnsi="Arial" w:eastAsia="Arial" w:cs="Arial"/>
      <w:i/>
      <w:iCs/>
      <w:sz w:val="21"/>
      <w:szCs w:val="21"/>
    </w:rPr>
  </w:style>
  <w:style w:type="paragraph" w:styleId="874">
    <w:name w:val="List Paragraph"/>
    <w:basedOn w:val="1031"/>
    <w:uiPriority w:val="34"/>
    <w:qFormat/>
    <w:pPr>
      <w:contextualSpacing/>
      <w:ind w:left="720"/>
    </w:pPr>
  </w:style>
  <w:style w:type="paragraph" w:styleId="875">
    <w:name w:val="No Spacing"/>
    <w:uiPriority w:val="1"/>
    <w:qFormat/>
    <w:pPr>
      <w:spacing w:before="0" w:after="0" w:line="240" w:lineRule="auto"/>
    </w:pPr>
  </w:style>
  <w:style w:type="character" w:styleId="876">
    <w:name w:val="Title Char"/>
    <w:link w:val="1105"/>
    <w:uiPriority w:val="10"/>
    <w:rPr>
      <w:sz w:val="48"/>
      <w:szCs w:val="48"/>
    </w:rPr>
  </w:style>
  <w:style w:type="paragraph" w:styleId="877">
    <w:name w:val="Subtitle"/>
    <w:basedOn w:val="1031"/>
    <w:next w:val="1031"/>
    <w:link w:val="878"/>
    <w:uiPriority w:val="11"/>
    <w:qFormat/>
    <w:pPr>
      <w:spacing w:before="200" w:after="200"/>
    </w:pPr>
    <w:rPr>
      <w:sz w:val="24"/>
      <w:szCs w:val="24"/>
    </w:rPr>
  </w:style>
  <w:style w:type="character" w:styleId="878">
    <w:name w:val="Subtitle Char"/>
    <w:link w:val="877"/>
    <w:uiPriority w:val="11"/>
    <w:rPr>
      <w:sz w:val="24"/>
      <w:szCs w:val="24"/>
    </w:rPr>
  </w:style>
  <w:style w:type="paragraph" w:styleId="879">
    <w:name w:val="Quote"/>
    <w:basedOn w:val="1031"/>
    <w:next w:val="1031"/>
    <w:link w:val="880"/>
    <w:uiPriority w:val="29"/>
    <w:qFormat/>
    <w:pPr>
      <w:ind w:left="720" w:right="720"/>
    </w:pPr>
    <w:rPr>
      <w:i/>
    </w:rPr>
  </w:style>
  <w:style w:type="character" w:styleId="880">
    <w:name w:val="Quote Char"/>
    <w:link w:val="879"/>
    <w:uiPriority w:val="29"/>
    <w:rPr>
      <w:i/>
    </w:rPr>
  </w:style>
  <w:style w:type="paragraph" w:styleId="881">
    <w:name w:val="Intense Quote"/>
    <w:basedOn w:val="1031"/>
    <w:next w:val="1031"/>
    <w:link w:val="8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2">
    <w:name w:val="Intense Quote Char"/>
    <w:link w:val="881"/>
    <w:uiPriority w:val="30"/>
    <w:rPr>
      <w:i/>
    </w:rPr>
  </w:style>
  <w:style w:type="character" w:styleId="883">
    <w:name w:val="Header Char"/>
    <w:link w:val="1104"/>
    <w:uiPriority w:val="99"/>
  </w:style>
  <w:style w:type="paragraph" w:styleId="884">
    <w:name w:val="Footer"/>
    <w:basedOn w:val="1031"/>
    <w:link w:val="8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85">
    <w:name w:val="Footer Char"/>
    <w:link w:val="884"/>
    <w:uiPriority w:val="99"/>
  </w:style>
  <w:style w:type="character" w:styleId="886">
    <w:name w:val="Caption Char"/>
    <w:basedOn w:val="1109"/>
    <w:link w:val="884"/>
    <w:uiPriority w:val="99"/>
  </w:style>
  <w:style w:type="table" w:styleId="88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1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1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1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2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2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2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2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2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2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2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2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2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2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3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3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5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5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5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5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5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5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5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7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8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8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8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8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8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8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8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8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8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8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9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9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9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0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0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0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0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0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0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0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0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1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1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1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13">
    <w:name w:val="Hyperlink"/>
    <w:uiPriority w:val="99"/>
    <w:unhideWhenUsed/>
    <w:rPr>
      <w:color w:val="0000ff" w:themeColor="hyperlink"/>
      <w:u w:val="single"/>
    </w:rPr>
  </w:style>
  <w:style w:type="paragraph" w:styleId="1014">
    <w:name w:val="footnote text"/>
    <w:basedOn w:val="1031"/>
    <w:link w:val="1015"/>
    <w:uiPriority w:val="99"/>
    <w:semiHidden/>
    <w:unhideWhenUsed/>
    <w:pPr>
      <w:spacing w:after="40" w:line="240" w:lineRule="auto"/>
    </w:pPr>
    <w:rPr>
      <w:sz w:val="18"/>
    </w:rPr>
  </w:style>
  <w:style w:type="character" w:styleId="1015">
    <w:name w:val="Footnote Text Char"/>
    <w:link w:val="1014"/>
    <w:uiPriority w:val="99"/>
    <w:rPr>
      <w:sz w:val="18"/>
    </w:rPr>
  </w:style>
  <w:style w:type="character" w:styleId="1016">
    <w:name w:val="footnote reference"/>
    <w:uiPriority w:val="99"/>
    <w:unhideWhenUsed/>
    <w:rPr>
      <w:vertAlign w:val="superscript"/>
    </w:rPr>
  </w:style>
  <w:style w:type="paragraph" w:styleId="1017">
    <w:name w:val="endnote text"/>
    <w:basedOn w:val="1031"/>
    <w:link w:val="1018"/>
    <w:uiPriority w:val="99"/>
    <w:semiHidden/>
    <w:unhideWhenUsed/>
    <w:pPr>
      <w:spacing w:after="0" w:line="240" w:lineRule="auto"/>
    </w:pPr>
    <w:rPr>
      <w:sz w:val="20"/>
    </w:rPr>
  </w:style>
  <w:style w:type="character" w:styleId="1018">
    <w:name w:val="Endnote Text Char"/>
    <w:link w:val="1017"/>
    <w:uiPriority w:val="99"/>
    <w:rPr>
      <w:sz w:val="20"/>
    </w:rPr>
  </w:style>
  <w:style w:type="character" w:styleId="1019">
    <w:name w:val="endnote reference"/>
    <w:uiPriority w:val="99"/>
    <w:semiHidden/>
    <w:unhideWhenUsed/>
    <w:rPr>
      <w:vertAlign w:val="superscript"/>
    </w:rPr>
  </w:style>
  <w:style w:type="paragraph" w:styleId="1020">
    <w:name w:val="toc 1"/>
    <w:basedOn w:val="1031"/>
    <w:next w:val="1031"/>
    <w:uiPriority w:val="39"/>
    <w:unhideWhenUsed/>
    <w:pPr>
      <w:ind w:left="0" w:right="0" w:firstLine="0"/>
      <w:spacing w:after="57"/>
    </w:pPr>
  </w:style>
  <w:style w:type="paragraph" w:styleId="1021">
    <w:name w:val="toc 2"/>
    <w:basedOn w:val="1031"/>
    <w:next w:val="1031"/>
    <w:uiPriority w:val="39"/>
    <w:unhideWhenUsed/>
    <w:pPr>
      <w:ind w:left="283" w:right="0" w:firstLine="0"/>
      <w:spacing w:after="57"/>
    </w:pPr>
  </w:style>
  <w:style w:type="paragraph" w:styleId="1022">
    <w:name w:val="toc 3"/>
    <w:basedOn w:val="1031"/>
    <w:next w:val="1031"/>
    <w:uiPriority w:val="39"/>
    <w:unhideWhenUsed/>
    <w:pPr>
      <w:ind w:left="567" w:right="0" w:firstLine="0"/>
      <w:spacing w:after="57"/>
    </w:pPr>
  </w:style>
  <w:style w:type="paragraph" w:styleId="1023">
    <w:name w:val="toc 4"/>
    <w:basedOn w:val="1031"/>
    <w:next w:val="1031"/>
    <w:uiPriority w:val="39"/>
    <w:unhideWhenUsed/>
    <w:pPr>
      <w:ind w:left="850" w:right="0" w:firstLine="0"/>
      <w:spacing w:after="57"/>
    </w:pPr>
  </w:style>
  <w:style w:type="paragraph" w:styleId="1024">
    <w:name w:val="toc 5"/>
    <w:basedOn w:val="1031"/>
    <w:next w:val="1031"/>
    <w:uiPriority w:val="39"/>
    <w:unhideWhenUsed/>
    <w:pPr>
      <w:ind w:left="1134" w:right="0" w:firstLine="0"/>
      <w:spacing w:after="57"/>
    </w:pPr>
  </w:style>
  <w:style w:type="paragraph" w:styleId="1025">
    <w:name w:val="toc 6"/>
    <w:basedOn w:val="1031"/>
    <w:next w:val="1031"/>
    <w:uiPriority w:val="39"/>
    <w:unhideWhenUsed/>
    <w:pPr>
      <w:ind w:left="1417" w:right="0" w:firstLine="0"/>
      <w:spacing w:after="57"/>
    </w:pPr>
  </w:style>
  <w:style w:type="paragraph" w:styleId="1026">
    <w:name w:val="toc 7"/>
    <w:basedOn w:val="1031"/>
    <w:next w:val="1031"/>
    <w:uiPriority w:val="39"/>
    <w:unhideWhenUsed/>
    <w:pPr>
      <w:ind w:left="1701" w:right="0" w:firstLine="0"/>
      <w:spacing w:after="57"/>
    </w:pPr>
  </w:style>
  <w:style w:type="paragraph" w:styleId="1027">
    <w:name w:val="toc 8"/>
    <w:basedOn w:val="1031"/>
    <w:next w:val="1031"/>
    <w:uiPriority w:val="39"/>
    <w:unhideWhenUsed/>
    <w:pPr>
      <w:ind w:left="1984" w:right="0" w:firstLine="0"/>
      <w:spacing w:after="57"/>
    </w:pPr>
  </w:style>
  <w:style w:type="paragraph" w:styleId="1028">
    <w:name w:val="toc 9"/>
    <w:basedOn w:val="1031"/>
    <w:next w:val="1031"/>
    <w:uiPriority w:val="39"/>
    <w:unhideWhenUsed/>
    <w:pPr>
      <w:ind w:left="2268" w:right="0" w:firstLine="0"/>
      <w:spacing w:after="57"/>
    </w:pPr>
  </w:style>
  <w:style w:type="paragraph" w:styleId="1029">
    <w:name w:val="TOC Heading"/>
    <w:uiPriority w:val="39"/>
    <w:unhideWhenUsed/>
  </w:style>
  <w:style w:type="paragraph" w:styleId="1030">
    <w:name w:val="table of figures"/>
    <w:basedOn w:val="1031"/>
    <w:next w:val="1031"/>
    <w:uiPriority w:val="99"/>
    <w:unhideWhenUsed/>
    <w:pPr>
      <w:spacing w:after="0" w:afterAutospacing="0"/>
    </w:pPr>
  </w:style>
  <w:style w:type="paragraph" w:styleId="1031" w:default="1">
    <w:name w:val="Normal"/>
    <w:next w:val="1031"/>
    <w:link w:val="1031"/>
    <w:qFormat/>
    <w:rPr>
      <w:lang w:val="ru-RU" w:eastAsia="ar-SA" w:bidi="ar-SA"/>
    </w:rPr>
  </w:style>
  <w:style w:type="paragraph" w:styleId="1032">
    <w:name w:val="Заголовок 1"/>
    <w:basedOn w:val="1031"/>
    <w:next w:val="1031"/>
    <w:link w:val="1099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33">
    <w:name w:val="Заголовок 2"/>
    <w:basedOn w:val="1031"/>
    <w:next w:val="1033"/>
    <w:link w:val="1097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1034">
    <w:name w:val="Заголовок 3"/>
    <w:basedOn w:val="1031"/>
    <w:next w:val="1031"/>
    <w:link w:val="110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1035">
    <w:name w:val="Заголовок 4"/>
    <w:basedOn w:val="1031"/>
    <w:next w:val="1031"/>
    <w:link w:val="1101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1036">
    <w:name w:val="Основной шрифт абзаца"/>
    <w:next w:val="1036"/>
    <w:link w:val="1031"/>
    <w:semiHidden/>
  </w:style>
  <w:style w:type="table" w:styleId="1037">
    <w:name w:val="Обычная таблица"/>
    <w:next w:val="1037"/>
    <w:link w:val="1031"/>
    <w:uiPriority w:val="99"/>
    <w:semiHidden/>
    <w:unhideWhenUsed/>
    <w:tblPr/>
  </w:style>
  <w:style w:type="numbering" w:styleId="1038">
    <w:name w:val="Нет списка"/>
    <w:next w:val="1038"/>
    <w:link w:val="1031"/>
    <w:uiPriority w:val="99"/>
    <w:semiHidden/>
    <w:unhideWhenUsed/>
  </w:style>
  <w:style w:type="character" w:styleId="1039">
    <w:name w:val="Основной шрифт абзаца6"/>
    <w:next w:val="1039"/>
    <w:link w:val="1031"/>
  </w:style>
  <w:style w:type="character" w:styleId="1040">
    <w:name w:val="Основной шрифт абзаца5"/>
    <w:next w:val="1040"/>
    <w:link w:val="1031"/>
  </w:style>
  <w:style w:type="character" w:styleId="1041">
    <w:name w:val="Основной шрифт абзаца4"/>
    <w:next w:val="1041"/>
    <w:link w:val="1031"/>
  </w:style>
  <w:style w:type="character" w:styleId="1042">
    <w:name w:val="Absatz-Standardschriftart"/>
    <w:next w:val="1042"/>
    <w:link w:val="1031"/>
  </w:style>
  <w:style w:type="character" w:styleId="1043">
    <w:name w:val="WW-Absatz-Standardschriftart"/>
    <w:next w:val="1043"/>
    <w:link w:val="1031"/>
  </w:style>
  <w:style w:type="character" w:styleId="1044">
    <w:name w:val="Основной шрифт абзаца3"/>
    <w:next w:val="1044"/>
    <w:link w:val="1031"/>
  </w:style>
  <w:style w:type="character" w:styleId="1045">
    <w:name w:val="WW-Absatz-Standardschriftart1"/>
    <w:next w:val="1045"/>
    <w:link w:val="1031"/>
  </w:style>
  <w:style w:type="character" w:styleId="1046">
    <w:name w:val="Основной шрифт абзаца2"/>
    <w:next w:val="1046"/>
    <w:link w:val="1031"/>
  </w:style>
  <w:style w:type="character" w:styleId="1047">
    <w:name w:val="WW-Absatz-Standardschriftart11"/>
    <w:next w:val="1047"/>
    <w:link w:val="1031"/>
  </w:style>
  <w:style w:type="character" w:styleId="1048">
    <w:name w:val="Основной шрифт абзаца1"/>
    <w:next w:val="1048"/>
    <w:link w:val="1031"/>
  </w:style>
  <w:style w:type="character" w:styleId="1049">
    <w:name w:val="Îñíîâíîé øðèôò"/>
    <w:next w:val="1049"/>
    <w:link w:val="1031"/>
  </w:style>
  <w:style w:type="character" w:styleId="1050">
    <w:name w:val="Гиперссылка"/>
    <w:next w:val="1050"/>
    <w:link w:val="1031"/>
    <w:uiPriority w:val="99"/>
    <w:semiHidden/>
    <w:rPr>
      <w:color w:val="0000ff"/>
      <w:u w:val="single"/>
    </w:rPr>
  </w:style>
  <w:style w:type="character" w:styleId="1051">
    <w:name w:val="Просмотренная гиперссылка"/>
    <w:next w:val="1051"/>
    <w:link w:val="1031"/>
    <w:semiHidden/>
    <w:rPr>
      <w:color w:val="800080"/>
      <w:u w:val="single"/>
    </w:rPr>
  </w:style>
  <w:style w:type="paragraph" w:styleId="1052">
    <w:name w:val="Заголовок"/>
    <w:basedOn w:val="1031"/>
    <w:next w:val="1053"/>
    <w:link w:val="1031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053">
    <w:name w:val="Основной текст"/>
    <w:basedOn w:val="1031"/>
    <w:next w:val="1053"/>
    <w:link w:val="1031"/>
    <w:semiHidden/>
    <w:rPr>
      <w:sz w:val="28"/>
    </w:rPr>
  </w:style>
  <w:style w:type="paragraph" w:styleId="1054">
    <w:name w:val="Список"/>
    <w:basedOn w:val="1053"/>
    <w:next w:val="1054"/>
    <w:link w:val="1031"/>
    <w:semiHidden/>
    <w:rPr>
      <w:rFonts w:ascii="Arial" w:hAnsi="Arial" w:cs="Tahoma"/>
    </w:rPr>
  </w:style>
  <w:style w:type="paragraph" w:styleId="1055">
    <w:name w:val="Название6"/>
    <w:basedOn w:val="1031"/>
    <w:next w:val="1055"/>
    <w:link w:val="103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56">
    <w:name w:val="Указатель6"/>
    <w:basedOn w:val="1031"/>
    <w:next w:val="1056"/>
    <w:link w:val="1031"/>
    <w:pPr>
      <w:suppressLineNumbers/>
    </w:pPr>
    <w:rPr>
      <w:rFonts w:ascii="Arial" w:hAnsi="Arial" w:cs="Tahoma"/>
    </w:rPr>
  </w:style>
  <w:style w:type="paragraph" w:styleId="1057">
    <w:name w:val="Название5"/>
    <w:basedOn w:val="1031"/>
    <w:next w:val="1057"/>
    <w:link w:val="103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58">
    <w:name w:val="Указатель5"/>
    <w:basedOn w:val="1031"/>
    <w:next w:val="1058"/>
    <w:link w:val="1031"/>
    <w:pPr>
      <w:suppressLineNumbers/>
    </w:pPr>
    <w:rPr>
      <w:rFonts w:ascii="Arial" w:hAnsi="Arial" w:cs="Tahoma"/>
    </w:rPr>
  </w:style>
  <w:style w:type="paragraph" w:styleId="1059">
    <w:name w:val="Название4"/>
    <w:basedOn w:val="1031"/>
    <w:next w:val="1059"/>
    <w:link w:val="103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60">
    <w:name w:val="Указатель4"/>
    <w:basedOn w:val="1031"/>
    <w:next w:val="1060"/>
    <w:link w:val="1031"/>
    <w:pPr>
      <w:suppressLineNumbers/>
    </w:pPr>
    <w:rPr>
      <w:rFonts w:ascii="Arial" w:hAnsi="Arial" w:cs="Tahoma"/>
    </w:rPr>
  </w:style>
  <w:style w:type="paragraph" w:styleId="1061">
    <w:name w:val="Название3"/>
    <w:basedOn w:val="1031"/>
    <w:next w:val="1061"/>
    <w:link w:val="103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62">
    <w:name w:val="Указатель3"/>
    <w:basedOn w:val="1031"/>
    <w:next w:val="1062"/>
    <w:link w:val="1031"/>
    <w:pPr>
      <w:suppressLineNumbers/>
    </w:pPr>
    <w:rPr>
      <w:rFonts w:ascii="Arial" w:hAnsi="Arial" w:cs="Tahoma"/>
    </w:rPr>
  </w:style>
  <w:style w:type="paragraph" w:styleId="1063">
    <w:name w:val="Название2"/>
    <w:basedOn w:val="1031"/>
    <w:next w:val="1063"/>
    <w:link w:val="103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64">
    <w:name w:val="Указатель2"/>
    <w:basedOn w:val="1031"/>
    <w:next w:val="1064"/>
    <w:link w:val="1031"/>
    <w:pPr>
      <w:suppressLineNumbers/>
    </w:pPr>
    <w:rPr>
      <w:rFonts w:ascii="Arial" w:hAnsi="Arial" w:cs="Tahoma"/>
    </w:rPr>
  </w:style>
  <w:style w:type="paragraph" w:styleId="1065">
    <w:name w:val="Название1"/>
    <w:basedOn w:val="1031"/>
    <w:next w:val="1065"/>
    <w:link w:val="103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66">
    <w:name w:val="Указатель1"/>
    <w:basedOn w:val="1031"/>
    <w:next w:val="1066"/>
    <w:link w:val="1031"/>
    <w:pPr>
      <w:suppressLineNumbers/>
    </w:pPr>
    <w:rPr>
      <w:rFonts w:ascii="Arial" w:hAnsi="Arial" w:cs="Tahoma"/>
    </w:rPr>
  </w:style>
  <w:style w:type="paragraph" w:styleId="1067">
    <w:name w:val="Верхний колонтитул"/>
    <w:basedOn w:val="1031"/>
    <w:next w:val="1067"/>
    <w:link w:val="1074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068">
    <w:name w:val="Нижний колонтитул"/>
    <w:basedOn w:val="1031"/>
    <w:next w:val="1068"/>
    <w:link w:val="1075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069">
    <w:name w:val="Текст выноски"/>
    <w:basedOn w:val="1031"/>
    <w:next w:val="1069"/>
    <w:link w:val="1031"/>
    <w:rPr>
      <w:rFonts w:ascii="Tahoma" w:hAnsi="Tahoma" w:cs="Tahoma"/>
      <w:sz w:val="16"/>
      <w:szCs w:val="16"/>
    </w:rPr>
  </w:style>
  <w:style w:type="paragraph" w:styleId="1070">
    <w:name w:val="Содержимое таблицы"/>
    <w:basedOn w:val="1031"/>
    <w:next w:val="1070"/>
    <w:link w:val="1031"/>
    <w:pPr>
      <w:suppressLineNumbers/>
    </w:pPr>
  </w:style>
  <w:style w:type="paragraph" w:styleId="1071">
    <w:name w:val="Заголовок таблицы"/>
    <w:basedOn w:val="1070"/>
    <w:next w:val="1071"/>
    <w:link w:val="1031"/>
    <w:pPr>
      <w:jc w:val="center"/>
      <w:suppressLineNumbers/>
    </w:pPr>
    <w:rPr>
      <w:b/>
      <w:bCs/>
    </w:rPr>
  </w:style>
  <w:style w:type="paragraph" w:styleId="1072">
    <w:name w:val="Содержимое врезки"/>
    <w:basedOn w:val="1053"/>
    <w:next w:val="1072"/>
    <w:link w:val="1031"/>
  </w:style>
  <w:style w:type="table" w:styleId="1073">
    <w:name w:val="Сетка таблицы"/>
    <w:basedOn w:val="1037"/>
    <w:next w:val="1073"/>
    <w:link w:val="1031"/>
    <w:tblPr/>
  </w:style>
  <w:style w:type="character" w:styleId="1074">
    <w:name w:val="Верхний колонтитул Знак"/>
    <w:next w:val="1074"/>
    <w:link w:val="1067"/>
    <w:rPr>
      <w:lang w:eastAsia="ar-SA"/>
    </w:rPr>
  </w:style>
  <w:style w:type="character" w:styleId="1075">
    <w:name w:val="Нижний колонтитул Знак"/>
    <w:next w:val="1075"/>
    <w:link w:val="1068"/>
    <w:rPr>
      <w:lang w:eastAsia="ar-SA"/>
    </w:rPr>
  </w:style>
  <w:style w:type="character" w:styleId="1076">
    <w:name w:val="Номер страницы"/>
    <w:basedOn w:val="1036"/>
    <w:next w:val="1076"/>
    <w:link w:val="1031"/>
  </w:style>
  <w:style w:type="character" w:styleId="1077">
    <w:name w:val="Основной текст + 16,5 pt2,Курсив1,Основной текст + 10"/>
    <w:next w:val="1077"/>
    <w:link w:val="1031"/>
    <w:rPr>
      <w:rFonts w:ascii="Times New Roman" w:hAnsi="Times New Roman" w:cs="Times New Roman"/>
      <w:i/>
      <w:iCs/>
      <w:sz w:val="33"/>
      <w:szCs w:val="33"/>
      <w:u w:val="single"/>
      <w:lang w:bidi="ar-SA"/>
    </w:rPr>
  </w:style>
  <w:style w:type="character" w:styleId="1078">
    <w:name w:val="Основной текст (3)_"/>
    <w:next w:val="1078"/>
    <w:link w:val="1079"/>
    <w:rPr>
      <w:sz w:val="22"/>
      <w:szCs w:val="22"/>
      <w:shd w:val="clear" w:color="auto" w:fill="ffffff"/>
    </w:rPr>
  </w:style>
  <w:style w:type="paragraph" w:styleId="1079">
    <w:name w:val="Основной текст (3)"/>
    <w:basedOn w:val="1031"/>
    <w:next w:val="1079"/>
    <w:link w:val="1078"/>
    <w:pPr>
      <w:spacing w:before="960" w:after="960" w:line="27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paragraph" w:styleId="1080">
    <w:name w:val="Без интервала"/>
    <w:next w:val="1080"/>
    <w:link w:val="1031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1081">
    <w:name w:val="Font Style13"/>
    <w:next w:val="1081"/>
    <w:link w:val="1031"/>
    <w:rPr>
      <w:rFonts w:ascii="Times New Roman" w:hAnsi="Times New Roman" w:cs="Times New Roman"/>
      <w:sz w:val="26"/>
      <w:szCs w:val="26"/>
    </w:rPr>
  </w:style>
  <w:style w:type="paragraph" w:styleId="1082">
    <w:name w:val="Обычный (веб)"/>
    <w:basedOn w:val="1031"/>
    <w:next w:val="1082"/>
    <w:link w:val="1031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083">
    <w:name w:val="apple-converted-space"/>
    <w:next w:val="1083"/>
    <w:link w:val="1031"/>
  </w:style>
  <w:style w:type="character" w:styleId="1084">
    <w:name w:val="Font Style18"/>
    <w:next w:val="1084"/>
    <w:link w:val="1031"/>
    <w:uiPriority w:val="99"/>
    <w:rPr>
      <w:rFonts w:ascii="Times New Roman" w:hAnsi="Times New Roman" w:cs="Times New Roman"/>
      <w:sz w:val="26"/>
      <w:szCs w:val="26"/>
    </w:rPr>
  </w:style>
  <w:style w:type="paragraph" w:styleId="1085">
    <w:name w:val="Основной текст с отступом"/>
    <w:basedOn w:val="1031"/>
    <w:next w:val="1085"/>
    <w:link w:val="1086"/>
    <w:uiPriority w:val="99"/>
    <w:unhideWhenUsed/>
    <w:pPr>
      <w:ind w:firstLine="709"/>
      <w:jc w:val="both"/>
    </w:pPr>
    <w:rPr>
      <w:color w:val="000000"/>
      <w:sz w:val="28"/>
      <w:szCs w:val="28"/>
      <w:lang w:val="en-US"/>
    </w:rPr>
  </w:style>
  <w:style w:type="character" w:styleId="1086">
    <w:name w:val="Основной текст с отступом Знак"/>
    <w:next w:val="1086"/>
    <w:link w:val="1085"/>
    <w:uiPriority w:val="99"/>
    <w:rPr>
      <w:color w:val="000000"/>
      <w:sz w:val="28"/>
      <w:szCs w:val="28"/>
      <w:lang w:eastAsia="ar-SA"/>
    </w:rPr>
  </w:style>
  <w:style w:type="paragraph" w:styleId="1087">
    <w:name w:val="ConsPlusNormal"/>
    <w:next w:val="1087"/>
    <w:link w:val="108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1088">
    <w:name w:val="ConsPlusNormal Знак"/>
    <w:next w:val="1088"/>
    <w:link w:val="1087"/>
    <w:rPr>
      <w:rFonts w:ascii="Arial" w:hAnsi="Arial" w:cs="Arial"/>
      <w:lang w:val="ru-RU" w:eastAsia="ru-RU" w:bidi="ar-SA"/>
    </w:rPr>
  </w:style>
  <w:style w:type="paragraph" w:styleId="1089">
    <w:name w:val="Основной текст с отступом 2"/>
    <w:basedOn w:val="1031"/>
    <w:next w:val="1089"/>
    <w:link w:val="1090"/>
    <w:uiPriority w:val="99"/>
    <w:unhideWhenUsed/>
    <w:pPr>
      <w:ind w:firstLine="709"/>
      <w:jc w:val="both"/>
    </w:pPr>
    <w:rPr>
      <w:color w:val="000000"/>
      <w:sz w:val="26"/>
      <w:szCs w:val="26"/>
      <w:lang w:val="en-US"/>
    </w:rPr>
  </w:style>
  <w:style w:type="character" w:styleId="1090">
    <w:name w:val="Основной текст с отступом 2 Знак"/>
    <w:next w:val="1090"/>
    <w:link w:val="1089"/>
    <w:uiPriority w:val="99"/>
    <w:rPr>
      <w:color w:val="000000"/>
      <w:sz w:val="26"/>
      <w:szCs w:val="26"/>
      <w:lang w:eastAsia="ar-SA"/>
    </w:rPr>
  </w:style>
  <w:style w:type="character" w:styleId="1091">
    <w:name w:val="Знак примечания"/>
    <w:next w:val="1091"/>
    <w:link w:val="1031"/>
    <w:uiPriority w:val="99"/>
    <w:semiHidden/>
    <w:unhideWhenUsed/>
    <w:rPr>
      <w:sz w:val="16"/>
      <w:szCs w:val="16"/>
    </w:rPr>
  </w:style>
  <w:style w:type="paragraph" w:styleId="1092">
    <w:name w:val="Текст примечания"/>
    <w:basedOn w:val="1031"/>
    <w:next w:val="1092"/>
    <w:link w:val="1093"/>
    <w:uiPriority w:val="99"/>
    <w:semiHidden/>
    <w:unhideWhenUsed/>
  </w:style>
  <w:style w:type="character" w:styleId="1093">
    <w:name w:val="Текст примечания Знак"/>
    <w:next w:val="1093"/>
    <w:link w:val="1092"/>
    <w:uiPriority w:val="99"/>
    <w:semiHidden/>
    <w:rPr>
      <w:lang w:eastAsia="ar-SA"/>
    </w:rPr>
  </w:style>
  <w:style w:type="paragraph" w:styleId="1094">
    <w:name w:val="Тема примечания"/>
    <w:basedOn w:val="1092"/>
    <w:next w:val="1092"/>
    <w:link w:val="1095"/>
    <w:uiPriority w:val="99"/>
    <w:semiHidden/>
    <w:unhideWhenUsed/>
    <w:rPr>
      <w:b/>
      <w:bCs/>
    </w:rPr>
  </w:style>
  <w:style w:type="character" w:styleId="1095">
    <w:name w:val="Тема примечания Знак"/>
    <w:next w:val="1095"/>
    <w:link w:val="1094"/>
    <w:uiPriority w:val="99"/>
    <w:semiHidden/>
    <w:rPr>
      <w:b/>
      <w:bCs/>
      <w:lang w:eastAsia="ar-SA"/>
    </w:rPr>
  </w:style>
  <w:style w:type="character" w:styleId="1096">
    <w:name w:val="Строгий"/>
    <w:next w:val="1096"/>
    <w:link w:val="1031"/>
    <w:uiPriority w:val="22"/>
    <w:qFormat/>
    <w:rPr>
      <w:b/>
      <w:bCs/>
    </w:rPr>
  </w:style>
  <w:style w:type="character" w:styleId="1097">
    <w:name w:val="Заголовок 2 Знак"/>
    <w:next w:val="1097"/>
    <w:link w:val="1033"/>
    <w:uiPriority w:val="9"/>
    <w:rPr>
      <w:b/>
      <w:bCs/>
      <w:sz w:val="36"/>
      <w:szCs w:val="36"/>
    </w:rPr>
  </w:style>
  <w:style w:type="paragraph" w:styleId="1098">
    <w:name w:val="paragraph"/>
    <w:basedOn w:val="1031"/>
    <w:next w:val="1098"/>
    <w:link w:val="103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099">
    <w:name w:val="Заголовок 1 Знак"/>
    <w:next w:val="1099"/>
    <w:link w:val="1032"/>
    <w:uiPriority w:val="9"/>
    <w:rPr>
      <w:rFonts w:ascii="Calibri Light" w:hAnsi="Calibri Light" w:eastAsia="Times New Roman" w:cs="Times New Roman"/>
      <w:b/>
      <w:bCs/>
      <w:sz w:val="32"/>
      <w:szCs w:val="32"/>
      <w:lang w:eastAsia="ar-SA"/>
    </w:rPr>
  </w:style>
  <w:style w:type="paragraph" w:styleId="1100">
    <w:name w:val="b-article__text"/>
    <w:basedOn w:val="1031"/>
    <w:next w:val="1100"/>
    <w:link w:val="103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01">
    <w:name w:val="Заголовок 4 Знак"/>
    <w:next w:val="1101"/>
    <w:link w:val="1035"/>
    <w:uiPriority w:val="9"/>
    <w:semiHidden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character" w:styleId="1102">
    <w:name w:val="Заголовок 3 Знак"/>
    <w:next w:val="1102"/>
    <w:link w:val="1034"/>
    <w:uiPriority w:val="9"/>
    <w:semiHidden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styleId="1103">
    <w:name w:val="Абзац списка"/>
    <w:basedOn w:val="1031"/>
    <w:next w:val="1103"/>
    <w:link w:val="1031"/>
    <w:uiPriority w:val="34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04">
    <w:name w:val="Header"/>
    <w:next w:val="1104"/>
    <w:link w:val="1031"/>
  </w:style>
  <w:style w:type="character" w:styleId="1105">
    <w:name w:val="Title"/>
    <w:next w:val="1105"/>
    <w:link w:val="1031"/>
  </w:style>
  <w:style w:type="character" w:styleId="1106">
    <w:name w:val="dashed"/>
    <w:next w:val="1106"/>
    <w:link w:val="1031"/>
  </w:style>
  <w:style w:type="character" w:styleId="1107">
    <w:name w:val="buttons"/>
    <w:next w:val="1107"/>
    <w:link w:val="1031"/>
  </w:style>
  <w:style w:type="paragraph" w:styleId="1108">
    <w:name w:val="float"/>
    <w:basedOn w:val="1031"/>
    <w:next w:val="1108"/>
    <w:link w:val="103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09">
    <w:name w:val="Caption"/>
    <w:next w:val="1109"/>
    <w:link w:val="1031"/>
  </w:style>
  <w:style w:type="character" w:styleId="1110">
    <w:name w:val="time"/>
    <w:next w:val="1110"/>
    <w:link w:val="1031"/>
  </w:style>
  <w:style w:type="character" w:styleId="1111">
    <w:name w:val="i18n"/>
    <w:next w:val="1111"/>
    <w:link w:val="1031"/>
  </w:style>
  <w:style w:type="paragraph" w:styleId="1112">
    <w:name w:val="z-Начало формы"/>
    <w:basedOn w:val="1031"/>
    <w:next w:val="1031"/>
    <w:link w:val="1113"/>
    <w:hidden/>
    <w:uiPriority w:val="99"/>
    <w:semiHidden/>
    <w:unhideWhenUsed/>
    <w:pPr>
      <w:jc w:val="center"/>
      <w:pBdr>
        <w:bottom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13">
    <w:name w:val="z-Начало формы Знак"/>
    <w:next w:val="1113"/>
    <w:link w:val="1112"/>
    <w:uiPriority w:val="99"/>
    <w:semiHidden/>
    <w:rPr>
      <w:rFonts w:ascii="Arial" w:hAnsi="Arial" w:cs="Arial"/>
      <w:vanish/>
      <w:sz w:val="16"/>
      <w:szCs w:val="16"/>
    </w:rPr>
  </w:style>
  <w:style w:type="paragraph" w:styleId="1114">
    <w:name w:val="z-Конец формы"/>
    <w:basedOn w:val="1031"/>
    <w:next w:val="1031"/>
    <w:link w:val="1115"/>
    <w:hidden/>
    <w:uiPriority w:val="99"/>
    <w:semiHidden/>
    <w:unhideWhenUsed/>
    <w:pPr>
      <w:jc w:val="center"/>
      <w:pBdr>
        <w:top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15">
    <w:name w:val="z-Конец формы Знак"/>
    <w:next w:val="1115"/>
    <w:link w:val="1114"/>
    <w:uiPriority w:val="99"/>
    <w:semiHidden/>
    <w:rPr>
      <w:rFonts w:ascii="Arial" w:hAnsi="Arial" w:cs="Arial"/>
      <w:vanish/>
      <w:sz w:val="16"/>
      <w:szCs w:val="16"/>
    </w:rPr>
  </w:style>
  <w:style w:type="character" w:styleId="1116">
    <w:name w:val="message-time"/>
    <w:next w:val="1116"/>
    <w:link w:val="1031"/>
  </w:style>
  <w:style w:type="character" w:styleId="1117" w:default="1">
    <w:name w:val="Default Paragraph Font"/>
    <w:uiPriority w:val="1"/>
    <w:semiHidden/>
    <w:unhideWhenUsed/>
  </w:style>
  <w:style w:type="numbering" w:styleId="1118" w:default="1">
    <w:name w:val="No List"/>
    <w:uiPriority w:val="99"/>
    <w:semiHidden/>
    <w:unhideWhenUsed/>
  </w:style>
  <w:style w:type="table" w:styleId="11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yperlink" Target="https://xn--b1aedfedwqbdfbnzkf0oe.xn--p1ai/national-project/robotization/" TargetMode="External"/><Relationship Id="rId14" Type="http://schemas.openxmlformats.org/officeDocument/2006/relationships/hyperlink" Target="http://minpromtorg.udmurt.ru/news/1352" TargetMode="External"/><Relationship Id="rId15" Type="http://schemas.openxmlformats.org/officeDocument/2006/relationships/hyperlink" Target="https://design-prom.ru/" TargetMode="External"/><Relationship Id="rId16" Type="http://schemas.openxmlformats.org/officeDocument/2006/relationships/hyperlink" Target="https://fsa.gov.ru/about/deyatelnost/funktsii-v-sfere-turizma/" TargetMode="External"/><Relationship Id="rId17" Type="http://schemas.openxmlformats.org/officeDocument/2006/relationships/hyperlink" Target="https://fsa.gov.ru/about/deyatelnost/funktsii-v-sfere-turizm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Удмурт Республикаысь</dc:title>
  <dc:creator>Рустем Каримов</dc:creator>
  <cp:revision>67</cp:revision>
  <dcterms:created xsi:type="dcterms:W3CDTF">2023-12-05T08:05:00Z</dcterms:created>
  <dcterms:modified xsi:type="dcterms:W3CDTF">2025-07-31T05:10:50Z</dcterms:modified>
  <cp:version>917504</cp:version>
</cp:coreProperties>
</file>